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2D5C8C" w14:paraId="639EE3F8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1FDE9AF1" w14:textId="61839380" w:rsidR="00175C0D" w:rsidRPr="002D5C8C" w:rsidRDefault="00175C0D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Pr="002D5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C8C" w:rsidRPr="002D5C8C">
              <w:rPr>
                <w:rFonts w:ascii="Arial" w:hAnsi="Arial" w:cs="Arial"/>
                <w:sz w:val="20"/>
                <w:szCs w:val="20"/>
              </w:rPr>
              <w:t>KPI (Key Performance Indicator)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39EACE44" w14:textId="77777777" w:rsidR="00175C0D" w:rsidRPr="002D5C8C" w:rsidRDefault="00175C0D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2D5C8C">
              <w:rPr>
                <w:rFonts w:ascii="Arial" w:hAnsi="Arial" w:cs="Arial"/>
                <w:sz w:val="20"/>
                <w:szCs w:val="20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7FF7E1D0" w14:textId="6EB024CD" w:rsidR="00175C0D" w:rsidRPr="002D5C8C" w:rsidRDefault="00175C0D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Grade: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C8C" w:rsidRPr="002D5C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A2A30" w:rsidRPr="002D5C8C" w14:paraId="1A4DAB4E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619C813A" w14:textId="77777777" w:rsidR="00DA2A30" w:rsidRPr="002D5C8C" w:rsidRDefault="00DA2A30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="001E29C5" w:rsidRPr="002D5C8C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4C1669A2" w14:textId="7680CD32" w:rsidR="00DA2A30" w:rsidRPr="002D5C8C" w:rsidRDefault="00DA2A30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 xml:space="preserve">Line Manager: </w:t>
            </w:r>
            <w:r w:rsidR="002D5C8C" w:rsidRPr="002D5C8C">
              <w:rPr>
                <w:rFonts w:ascii="Arial" w:hAnsi="Arial" w:cs="Arial"/>
                <w:bCs/>
                <w:sz w:val="20"/>
                <w:szCs w:val="20"/>
              </w:rPr>
              <w:t>FLM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12DF4458" w14:textId="77777777" w:rsidR="00DA2A30" w:rsidRPr="002D5C8C" w:rsidRDefault="00DA2A30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Direct Reports:</w:t>
            </w:r>
            <w:r w:rsidRPr="002D5C8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175C0D" w:rsidRPr="002D5C8C" w14:paraId="24813C69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2E0953B5" w14:textId="77777777" w:rsidR="00F215D7" w:rsidRPr="002D5C8C" w:rsidRDefault="00175C0D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Job Purpose: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To effectively and efficiently, manage the resources within the </w:t>
            </w:r>
            <w:r w:rsidR="00392FC8" w:rsidRPr="002D5C8C">
              <w:rPr>
                <w:rFonts w:ascii="Arial" w:hAnsi="Arial" w:cs="Arial"/>
                <w:sz w:val="20"/>
                <w:szCs w:val="20"/>
              </w:rPr>
              <w:t>Primary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room to ensure the best use of people, plant and materials and meet output, product quality and customer service targets. Ensure that all 2SFG customer and legal requirements are </w:t>
            </w:r>
            <w:proofErr w:type="gramStart"/>
            <w:r w:rsidR="00E250FE" w:rsidRPr="002D5C8C">
              <w:rPr>
                <w:rFonts w:ascii="Arial" w:hAnsi="Arial" w:cs="Arial"/>
                <w:sz w:val="20"/>
                <w:szCs w:val="20"/>
              </w:rPr>
              <w:t>followed at all times</w:t>
            </w:r>
            <w:proofErr w:type="gramEnd"/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e.g.</w:t>
            </w:r>
            <w:r w:rsidR="00392FC8" w:rsidRPr="002D5C8C">
              <w:rPr>
                <w:rFonts w:ascii="Arial" w:hAnsi="Arial" w:cs="Arial"/>
                <w:sz w:val="20"/>
                <w:szCs w:val="20"/>
              </w:rPr>
              <w:t xml:space="preserve"> Animal Welfare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food safety, product quality, policies and procedures. </w:t>
            </w:r>
            <w:r w:rsidR="00392FC8" w:rsidRPr="002D5C8C">
              <w:rPr>
                <w:rFonts w:ascii="Arial" w:hAnsi="Arial" w:cs="Arial"/>
                <w:sz w:val="20"/>
                <w:szCs w:val="20"/>
              </w:rPr>
              <w:t xml:space="preserve">Be a strong inspirational Leader of people who can galvanise a team during challenging times. </w:t>
            </w:r>
            <w:r w:rsidR="00F215D7" w:rsidRPr="002D5C8C">
              <w:rPr>
                <w:rFonts w:ascii="Arial" w:hAnsi="Arial" w:cs="Arial"/>
                <w:color w:val="000000"/>
                <w:sz w:val="20"/>
                <w:szCs w:val="20"/>
              </w:rPr>
              <w:t>To produce and pack poultry products for the retail and catering industries as per assigned department.</w:t>
            </w:r>
          </w:p>
          <w:p w14:paraId="30B17FD1" w14:textId="36DD0FF6" w:rsidR="00091E3B" w:rsidRPr="002D5C8C" w:rsidRDefault="00F215D7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color w:val="000000"/>
                <w:sz w:val="20"/>
                <w:szCs w:val="20"/>
              </w:rPr>
              <w:t>To follow procedures and required practices to ensure that we produce products of the highest quality, food safety and food integrity</w:t>
            </w:r>
          </w:p>
        </w:tc>
      </w:tr>
      <w:tr w:rsidR="00175C0D" w:rsidRPr="002D5C8C" w14:paraId="055AC18E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0CF74690" w14:textId="77777777" w:rsidR="00175C0D" w:rsidRPr="002D5C8C" w:rsidRDefault="00175C0D" w:rsidP="002D5C8C">
            <w:p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Facts and Figures:</w:t>
            </w:r>
            <w:r w:rsidRPr="002D5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9C5" w:rsidRPr="002D5C8C">
              <w:rPr>
                <w:rFonts w:ascii="Arial" w:hAnsi="Arial" w:cs="Arial"/>
                <w:sz w:val="20"/>
                <w:szCs w:val="20"/>
              </w:rPr>
              <w:t>In total, circa 180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co</w:t>
            </w:r>
            <w:r w:rsidR="001E29C5" w:rsidRPr="002D5C8C">
              <w:rPr>
                <w:rFonts w:ascii="Arial" w:hAnsi="Arial" w:cs="Arial"/>
                <w:sz w:val="20"/>
                <w:szCs w:val="20"/>
              </w:rPr>
              <w:t>lleagues within the primary department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. Personal accountability </w:t>
            </w:r>
            <w:r w:rsidR="001E29C5" w:rsidRPr="002D5C8C">
              <w:rPr>
                <w:rFonts w:ascii="Arial" w:hAnsi="Arial" w:cs="Arial"/>
                <w:sz w:val="20"/>
                <w:szCs w:val="20"/>
              </w:rPr>
              <w:t>for between 85-90</w:t>
            </w:r>
            <w:r w:rsidR="00E250FE" w:rsidRPr="002D5C8C">
              <w:rPr>
                <w:rFonts w:ascii="Arial" w:hAnsi="Arial" w:cs="Arial"/>
                <w:sz w:val="20"/>
                <w:szCs w:val="20"/>
              </w:rPr>
              <w:t xml:space="preserve"> colleagues taking full accountability for managing all aspects of conduct, absence and performance. Achieve specific Shift / Area KPI’s as detailed within accountabilities below</w:t>
            </w:r>
            <w:r w:rsidR="00D7049D" w:rsidRPr="002D5C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5C0D" w:rsidRPr="002D5C8C" w14:paraId="1D6B138C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05C023C1" w14:textId="77777777" w:rsidR="00175C0D" w:rsidRPr="002D5C8C" w:rsidRDefault="005C5CD1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37285B4F" w14:textId="77777777" w:rsidR="00175C0D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2243C862" w14:textId="77777777" w:rsidR="00175C0D" w:rsidRPr="002D5C8C" w:rsidRDefault="005C5CD1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Knowledge, skills, experience</w:t>
            </w:r>
          </w:p>
        </w:tc>
      </w:tr>
      <w:tr w:rsidR="00E250FE" w:rsidRPr="002D5C8C" w14:paraId="26E36B5C" w14:textId="77777777" w:rsidTr="00DA2A30">
        <w:tc>
          <w:tcPr>
            <w:tcW w:w="5129" w:type="dxa"/>
          </w:tcPr>
          <w:p w14:paraId="7FF256B4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Update hourly count sheet with actual kill figures on teams.</w:t>
            </w:r>
          </w:p>
          <w:p w14:paraId="0EF54409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Attain hourly hang numbers from HMI panels.</w:t>
            </w:r>
          </w:p>
          <w:p w14:paraId="723FBE7F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Keep load track sheet up to date with ALL actual farm information.</w:t>
            </w:r>
          </w:p>
          <w:p w14:paraId="127BF4F1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Keep the kill out time sheet up to date with actual bird numbers and downtime.</w:t>
            </w:r>
          </w:p>
          <w:p w14:paraId="38707D1F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 xml:space="preserve">Keep DT sheet up to date and assign minutes to relevant departments. </w:t>
            </w:r>
          </w:p>
          <w:p w14:paraId="4E7CD13F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Ensure kill is ready for production start-up</w:t>
            </w:r>
          </w:p>
          <w:p w14:paraId="25744690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Ensure all pre-start checks are completed (H&amp;S as well as operations).</w:t>
            </w:r>
          </w:p>
          <w:p w14:paraId="78C3D2A2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Help FLM’s complete departmental checks as well as registers.</w:t>
            </w:r>
          </w:p>
          <w:p w14:paraId="0B748645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Be part of the weekend maintenance team if required for further development.</w:t>
            </w:r>
          </w:p>
          <w:p w14:paraId="104FAA75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Ensure all H&amp;S site policies are always being adhered to</w:t>
            </w:r>
          </w:p>
          <w:p w14:paraId="5B4B167B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 xml:space="preserve">Immaculate time and attendance needed for this role. </w:t>
            </w:r>
          </w:p>
          <w:p w14:paraId="6AAA4D90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Create and action working schedules to improve performance and efficiencies of assets in Primary.</w:t>
            </w:r>
          </w:p>
          <w:p w14:paraId="226E8832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Make sure the entire department is always AUDIT ready</w:t>
            </w:r>
          </w:p>
          <w:p w14:paraId="056BBBD0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Learn the entire process (intake through to EV).</w:t>
            </w:r>
          </w:p>
          <w:p w14:paraId="1110BF48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Stand in as a kill FLM to cover holidays and absences (after completion of training).</w:t>
            </w:r>
          </w:p>
          <w:p w14:paraId="4A86E0C8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 xml:space="preserve">Update LBI accordingly with ALL relevant information. </w:t>
            </w:r>
          </w:p>
          <w:p w14:paraId="336A3844" w14:textId="77777777" w:rsidR="002D5C8C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lastRenderedPageBreak/>
              <w:t xml:space="preserve">Completion of ALL kill paperwork (Full training given). </w:t>
            </w:r>
          </w:p>
          <w:p w14:paraId="03A9AFE6" w14:textId="43A9F060" w:rsidR="00E250FE" w:rsidRPr="002D5C8C" w:rsidRDefault="002D5C8C" w:rsidP="002D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There will be additional tasks which will be communicated by the site Management team and will need to be added to any working schedule as and when required</w:t>
            </w:r>
          </w:p>
        </w:tc>
        <w:tc>
          <w:tcPr>
            <w:tcW w:w="5129" w:type="dxa"/>
            <w:gridSpan w:val="2"/>
          </w:tcPr>
          <w:p w14:paraId="1FCDC454" w14:textId="77777777" w:rsidR="00393E47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Accountability </w:t>
            </w:r>
          </w:p>
          <w:p w14:paraId="33F17FB7" w14:textId="77777777" w:rsidR="00393E47" w:rsidRPr="002D5C8C" w:rsidRDefault="00393E47" w:rsidP="002D5C8C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52BD67F8" w14:textId="77777777" w:rsidR="00393E47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  <w:p w14:paraId="474A82CA" w14:textId="77777777" w:rsidR="00393E47" w:rsidRPr="002D5C8C" w:rsidRDefault="00393E47" w:rsidP="002D5C8C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 xml:space="preserve">It’s showing control; </w:t>
            </w:r>
            <w:proofErr w:type="gramStart"/>
            <w:r w:rsidRPr="002D5C8C">
              <w:rPr>
                <w:rFonts w:ascii="Arial" w:hAnsi="Arial" w:cs="Arial"/>
                <w:sz w:val="20"/>
                <w:szCs w:val="20"/>
              </w:rPr>
              <w:t>making preparations</w:t>
            </w:r>
            <w:proofErr w:type="gramEnd"/>
            <w:r w:rsidRPr="002D5C8C">
              <w:rPr>
                <w:rFonts w:ascii="Arial" w:hAnsi="Arial" w:cs="Arial"/>
                <w:sz w:val="20"/>
                <w:szCs w:val="20"/>
              </w:rPr>
              <w:t>; following best practice; having direction; being methodical; taking time to plan; complying with regulations.</w:t>
            </w:r>
          </w:p>
          <w:p w14:paraId="1088563A" w14:textId="77777777" w:rsidR="00393E47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Agility</w:t>
            </w:r>
          </w:p>
          <w:p w14:paraId="5960B68D" w14:textId="77777777" w:rsidR="00393E47" w:rsidRPr="002D5C8C" w:rsidRDefault="00393E47" w:rsidP="002D5C8C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It’s being responsive; working at speed; bringing energy; being decisive; making the right call; delegating to others; collaborating when needed</w:t>
            </w:r>
          </w:p>
          <w:p w14:paraId="6E482400" w14:textId="77777777" w:rsidR="00393E47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Respect</w:t>
            </w:r>
          </w:p>
          <w:p w14:paraId="6099F99A" w14:textId="77777777" w:rsidR="00393E47" w:rsidRPr="002D5C8C" w:rsidRDefault="00393E47" w:rsidP="002D5C8C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It’s showing appreciation; treating with dignity; having courtesy; listening to other views; giving credit to others.</w:t>
            </w:r>
          </w:p>
          <w:p w14:paraId="0E096E7A" w14:textId="77777777" w:rsidR="00393E47" w:rsidRPr="002D5C8C" w:rsidRDefault="00393E47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Transparency</w:t>
            </w:r>
          </w:p>
          <w:p w14:paraId="7C60115B" w14:textId="3B0321EE" w:rsidR="003F5459" w:rsidRPr="002D5C8C" w:rsidRDefault="00393E47" w:rsidP="002D5C8C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>It’s being very clear; being truthful; being straightforward; being trustworthy; showing sincerity; sharing thoughts and plans</w:t>
            </w:r>
            <w:r w:rsidR="00876599" w:rsidRPr="002D5C8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C86CA7F" w14:textId="77777777" w:rsidR="00E250FE" w:rsidRPr="002D5C8C" w:rsidRDefault="008C6B45" w:rsidP="002D5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C">
              <w:rPr>
                <w:rFonts w:ascii="Arial" w:hAnsi="Arial" w:cs="Arial"/>
                <w:b/>
                <w:sz w:val="20"/>
                <w:szCs w:val="20"/>
              </w:rPr>
              <w:t>Resilient</w:t>
            </w:r>
          </w:p>
          <w:p w14:paraId="2A13161F" w14:textId="77777777" w:rsidR="00E250FE" w:rsidRPr="002D5C8C" w:rsidRDefault="00E250FE" w:rsidP="002D5C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D5C8C">
              <w:rPr>
                <w:rFonts w:ascii="Arial" w:hAnsi="Arial" w:cs="Arial"/>
                <w:sz w:val="20"/>
                <w:szCs w:val="20"/>
              </w:rPr>
              <w:t xml:space="preserve">Use thinking skills to analyse, decide, prioritise and plan </w:t>
            </w:r>
            <w:proofErr w:type="gramStart"/>
            <w:r w:rsidRPr="002D5C8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D5C8C">
              <w:rPr>
                <w:rFonts w:ascii="Arial" w:hAnsi="Arial" w:cs="Arial"/>
                <w:sz w:val="20"/>
                <w:szCs w:val="20"/>
              </w:rPr>
              <w:t xml:space="preserve"> do what is best for the Company ahead of personal, departmental or divisional goals.</w:t>
            </w:r>
          </w:p>
          <w:p w14:paraId="39446EA4" w14:textId="77777777" w:rsidR="00E250FE" w:rsidRPr="002D5C8C" w:rsidRDefault="00E250FE" w:rsidP="002D5C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55915" w14:textId="77777777" w:rsidR="00E250FE" w:rsidRPr="002D5C8C" w:rsidRDefault="00E250FE" w:rsidP="002D5C8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2472365" w14:textId="77777777" w:rsidR="00E250FE" w:rsidRPr="002D5C8C" w:rsidRDefault="00E250FE" w:rsidP="002D5C8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E2585F9" w14:textId="77777777" w:rsidR="00E250FE" w:rsidRPr="002D5C8C" w:rsidRDefault="00E250FE" w:rsidP="002D5C8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B1B9620" w14:textId="7082FFA1" w:rsidR="006E576B" w:rsidRPr="006E576B" w:rsidRDefault="006E576B" w:rsidP="006E576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E57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Essential</w:t>
            </w:r>
          </w:p>
          <w:p w14:paraId="705CD38B" w14:textId="77777777" w:rsidR="002D5C8C" w:rsidRPr="002D5C8C" w:rsidRDefault="002D5C8C" w:rsidP="002D5C8C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Good standard of spoken &amp; written English which will allow written instructions to be read &amp; effectively communicated</w:t>
            </w:r>
          </w:p>
          <w:p w14:paraId="342C7794" w14:textId="77777777" w:rsidR="002D5C8C" w:rsidRPr="002D5C8C" w:rsidRDefault="002D5C8C" w:rsidP="002D5C8C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Solid level of numeracy – able to calculate &amp; report on performance</w:t>
            </w:r>
          </w:p>
          <w:p w14:paraId="28F43AD0" w14:textId="77777777" w:rsidR="002D5C8C" w:rsidRPr="002D5C8C" w:rsidRDefault="002D5C8C" w:rsidP="002D5C8C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Excellent track record of working in a team; building capability, addressing any issues effectively and in compliance with legislative and company policies &amp; procedures</w:t>
            </w:r>
          </w:p>
          <w:p w14:paraId="3C81136E" w14:textId="77777777" w:rsidR="002D5C8C" w:rsidRPr="002D5C8C" w:rsidRDefault="002D5C8C" w:rsidP="002D5C8C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Ability to clearly communicate &amp; build a strong &amp; effective team</w:t>
            </w:r>
          </w:p>
          <w:p w14:paraId="3ED342F2" w14:textId="77777777" w:rsidR="002D5C8C" w:rsidRPr="002D5C8C" w:rsidRDefault="002D5C8C" w:rsidP="002D5C8C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Self-motivated and highly resilient</w:t>
            </w:r>
          </w:p>
          <w:p w14:paraId="6E521EBA" w14:textId="77777777" w:rsidR="006E576B" w:rsidRDefault="006E576B" w:rsidP="006E576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E57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Desirable</w:t>
            </w:r>
          </w:p>
          <w:p w14:paraId="5F71B729" w14:textId="77777777" w:rsidR="006E576B" w:rsidRPr="002D5C8C" w:rsidRDefault="006E576B" w:rsidP="006E576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L2 or higher Food Hygiene/Food Related Qualification</w:t>
            </w:r>
          </w:p>
          <w:p w14:paraId="288C87D2" w14:textId="77777777" w:rsidR="006E576B" w:rsidRDefault="006E576B" w:rsidP="006E576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L2 or higher HACCP qualifications</w:t>
            </w:r>
          </w:p>
          <w:p w14:paraId="539C7E8D" w14:textId="77777777" w:rsidR="006E576B" w:rsidRPr="002D5C8C" w:rsidRDefault="006E576B" w:rsidP="006E576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  <w:lang w:val="en-US"/>
              </w:rPr>
              <w:t>Poultry Welfare Officer training (PWO/AWO)</w:t>
            </w:r>
          </w:p>
          <w:p w14:paraId="365FA884" w14:textId="77777777" w:rsidR="006E576B" w:rsidRDefault="006E576B" w:rsidP="006E576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D5C8C">
              <w:rPr>
                <w:rFonts w:ascii="Arial" w:eastAsia="Calibri" w:hAnsi="Arial" w:cs="Arial"/>
                <w:sz w:val="20"/>
                <w:szCs w:val="20"/>
              </w:rPr>
              <w:t>Ideally experience of working in poultry slaughterhouses or other abattoir environments.</w:t>
            </w:r>
          </w:p>
          <w:p w14:paraId="72056264" w14:textId="77777777" w:rsidR="006E576B" w:rsidRPr="002D5C8C" w:rsidRDefault="006E576B" w:rsidP="006E576B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C19E52" w14:textId="42FC0FEA" w:rsidR="006E576B" w:rsidRPr="006E576B" w:rsidRDefault="006E576B" w:rsidP="006E576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9A6B68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</w:p>
    <w:p w14:paraId="28175D75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  <w:r w:rsidRPr="002D5C8C">
        <w:rPr>
          <w:rFonts w:ascii="Arial" w:hAnsi="Arial" w:cs="Arial"/>
          <w:sz w:val="20"/>
          <w:szCs w:val="20"/>
        </w:rPr>
        <w:t>I have read and understand my roles and responsibilities as detailed within this job description.</w:t>
      </w:r>
    </w:p>
    <w:p w14:paraId="236921E7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  <w:r w:rsidRPr="002D5C8C">
        <w:rPr>
          <w:rFonts w:ascii="Arial" w:hAnsi="Arial" w:cs="Arial"/>
          <w:sz w:val="20"/>
          <w:szCs w:val="20"/>
        </w:rPr>
        <w:t>Name……………………………………………………………………………………………………...</w:t>
      </w:r>
    </w:p>
    <w:p w14:paraId="134670F0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</w:p>
    <w:p w14:paraId="10676EBF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  <w:r w:rsidRPr="002D5C8C">
        <w:rPr>
          <w:rFonts w:ascii="Arial" w:hAnsi="Arial" w:cs="Arial"/>
          <w:sz w:val="20"/>
          <w:szCs w:val="20"/>
        </w:rPr>
        <w:t>Signature…………………………………………………………………………………………………</w:t>
      </w:r>
    </w:p>
    <w:p w14:paraId="6B105AC5" w14:textId="77777777" w:rsidR="009F6B7A" w:rsidRPr="002D5C8C" w:rsidRDefault="009F6B7A" w:rsidP="002D5C8C">
      <w:pPr>
        <w:rPr>
          <w:rFonts w:ascii="Arial" w:hAnsi="Arial" w:cs="Arial"/>
          <w:sz w:val="20"/>
          <w:szCs w:val="20"/>
        </w:rPr>
      </w:pPr>
    </w:p>
    <w:p w14:paraId="6D77190C" w14:textId="77777777" w:rsidR="00175C0D" w:rsidRPr="002D5C8C" w:rsidRDefault="009F6B7A" w:rsidP="002D5C8C">
      <w:pPr>
        <w:rPr>
          <w:rFonts w:ascii="Arial" w:hAnsi="Arial" w:cs="Arial"/>
          <w:sz w:val="20"/>
          <w:szCs w:val="20"/>
        </w:rPr>
      </w:pPr>
      <w:r w:rsidRPr="002D5C8C">
        <w:rPr>
          <w:rFonts w:ascii="Arial" w:hAnsi="Arial" w:cs="Arial"/>
          <w:sz w:val="20"/>
          <w:szCs w:val="20"/>
        </w:rPr>
        <w:t>Date……………………………………………………………………………………………………</w:t>
      </w:r>
      <w:proofErr w:type="gramStart"/>
      <w:r w:rsidRPr="002D5C8C">
        <w:rPr>
          <w:rFonts w:ascii="Arial" w:hAnsi="Arial" w:cs="Arial"/>
          <w:sz w:val="20"/>
          <w:szCs w:val="20"/>
        </w:rPr>
        <w:t>…..</w:t>
      </w:r>
      <w:proofErr w:type="gramEnd"/>
    </w:p>
    <w:sectPr w:rsidR="00175C0D" w:rsidRPr="002D5C8C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0AA0" w14:textId="77777777" w:rsidR="0036710F" w:rsidRDefault="0036710F" w:rsidP="00DA2A30">
      <w:pPr>
        <w:spacing w:after="0" w:line="240" w:lineRule="auto"/>
      </w:pPr>
      <w:r>
        <w:separator/>
      </w:r>
    </w:p>
  </w:endnote>
  <w:endnote w:type="continuationSeparator" w:id="0">
    <w:p w14:paraId="0828EDAF" w14:textId="77777777" w:rsidR="0036710F" w:rsidRDefault="0036710F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3D7661" w14:paraId="65B9669B" w14:textId="77777777" w:rsidTr="00DA2A30">
      <w:tc>
        <w:tcPr>
          <w:tcW w:w="5129" w:type="dxa"/>
        </w:tcPr>
        <w:p w14:paraId="41027BBE" w14:textId="553C66D3" w:rsidR="003D7661" w:rsidRDefault="003D7661">
          <w:pPr>
            <w:pStyle w:val="Footer"/>
          </w:pPr>
          <w:r>
            <w:t xml:space="preserve">Author: </w:t>
          </w:r>
          <w:r w:rsidR="00C006FE">
            <w:t>Recruitment/Primary</w:t>
          </w:r>
          <w:r w:rsidR="00FB1FAC">
            <w:t xml:space="preserve"> Manager</w:t>
          </w:r>
        </w:p>
      </w:tc>
      <w:tc>
        <w:tcPr>
          <w:tcW w:w="5129" w:type="dxa"/>
        </w:tcPr>
        <w:p w14:paraId="1751F820" w14:textId="2C15127A" w:rsidR="003D7661" w:rsidRDefault="00876599">
          <w:pPr>
            <w:pStyle w:val="Footer"/>
          </w:pPr>
          <w:r>
            <w:t xml:space="preserve">Created: </w:t>
          </w:r>
          <w:r w:rsidR="00C006FE">
            <w:t>May 2026</w:t>
          </w:r>
        </w:p>
      </w:tc>
      <w:tc>
        <w:tcPr>
          <w:tcW w:w="5130" w:type="dxa"/>
        </w:tcPr>
        <w:p w14:paraId="3EA89DC5" w14:textId="4C8A919C" w:rsidR="003D7661" w:rsidRDefault="00876599">
          <w:pPr>
            <w:pStyle w:val="Footer"/>
          </w:pPr>
          <w:r>
            <w:t xml:space="preserve">Review: </w:t>
          </w:r>
          <w:r w:rsidR="00C006FE">
            <w:t>May 2027</w:t>
          </w:r>
        </w:p>
      </w:tc>
    </w:tr>
  </w:tbl>
  <w:p w14:paraId="14A2328F" w14:textId="77777777" w:rsidR="003D7661" w:rsidRDefault="003D7661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7DA8" w14:textId="77777777" w:rsidR="0036710F" w:rsidRDefault="0036710F" w:rsidP="00DA2A30">
      <w:pPr>
        <w:spacing w:after="0" w:line="240" w:lineRule="auto"/>
      </w:pPr>
      <w:r>
        <w:separator/>
      </w:r>
    </w:p>
  </w:footnote>
  <w:footnote w:type="continuationSeparator" w:id="0">
    <w:p w14:paraId="42229F34" w14:textId="77777777" w:rsidR="0036710F" w:rsidRDefault="0036710F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35CB" w14:textId="77777777" w:rsidR="003D7661" w:rsidRDefault="003D7661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32FA2AE" wp14:editId="0580E40D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26F067DE" w14:textId="77777777" w:rsidR="003D7661" w:rsidRDefault="003D7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30D"/>
    <w:multiLevelType w:val="hybridMultilevel"/>
    <w:tmpl w:val="0DF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75ADB"/>
    <w:multiLevelType w:val="hybridMultilevel"/>
    <w:tmpl w:val="B91A91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AA8C38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60617"/>
    <w:multiLevelType w:val="hybridMultilevel"/>
    <w:tmpl w:val="FCC84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002E6"/>
    <w:multiLevelType w:val="hybridMultilevel"/>
    <w:tmpl w:val="0D606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13F8"/>
    <w:multiLevelType w:val="hybridMultilevel"/>
    <w:tmpl w:val="40345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417520">
    <w:abstractNumId w:val="3"/>
  </w:num>
  <w:num w:numId="2" w16cid:durableId="551229272">
    <w:abstractNumId w:val="2"/>
  </w:num>
  <w:num w:numId="3" w16cid:durableId="484129476">
    <w:abstractNumId w:val="5"/>
  </w:num>
  <w:num w:numId="4" w16cid:durableId="1126436072">
    <w:abstractNumId w:val="1"/>
  </w:num>
  <w:num w:numId="5" w16cid:durableId="1522428908">
    <w:abstractNumId w:val="4"/>
  </w:num>
  <w:num w:numId="6" w16cid:durableId="311522933">
    <w:abstractNumId w:val="2"/>
  </w:num>
  <w:num w:numId="7" w16cid:durableId="1415276474">
    <w:abstractNumId w:val="6"/>
  </w:num>
  <w:num w:numId="8" w16cid:durableId="210287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91E3B"/>
    <w:rsid w:val="000F77DF"/>
    <w:rsid w:val="00175C0D"/>
    <w:rsid w:val="001E29C5"/>
    <w:rsid w:val="002111D0"/>
    <w:rsid w:val="00242E32"/>
    <w:rsid w:val="002C745C"/>
    <w:rsid w:val="002D5C8C"/>
    <w:rsid w:val="002E47B2"/>
    <w:rsid w:val="002F7CD9"/>
    <w:rsid w:val="0036710F"/>
    <w:rsid w:val="00385448"/>
    <w:rsid w:val="00392FC8"/>
    <w:rsid w:val="00393E47"/>
    <w:rsid w:val="003A19CF"/>
    <w:rsid w:val="003C7077"/>
    <w:rsid w:val="003D7661"/>
    <w:rsid w:val="003F5459"/>
    <w:rsid w:val="00446AB0"/>
    <w:rsid w:val="004D34C2"/>
    <w:rsid w:val="00557E8A"/>
    <w:rsid w:val="00586C00"/>
    <w:rsid w:val="005C5CD1"/>
    <w:rsid w:val="005F4A2D"/>
    <w:rsid w:val="00676EB2"/>
    <w:rsid w:val="00692EDB"/>
    <w:rsid w:val="006E576B"/>
    <w:rsid w:val="006F5DC8"/>
    <w:rsid w:val="00874310"/>
    <w:rsid w:val="00876599"/>
    <w:rsid w:val="008C6B45"/>
    <w:rsid w:val="008F1879"/>
    <w:rsid w:val="00962EA3"/>
    <w:rsid w:val="009A690A"/>
    <w:rsid w:val="009C5727"/>
    <w:rsid w:val="009F6B7A"/>
    <w:rsid w:val="00B22219"/>
    <w:rsid w:val="00C006FE"/>
    <w:rsid w:val="00C277FF"/>
    <w:rsid w:val="00C4748C"/>
    <w:rsid w:val="00CB1094"/>
    <w:rsid w:val="00CF5999"/>
    <w:rsid w:val="00D7049D"/>
    <w:rsid w:val="00D87622"/>
    <w:rsid w:val="00D931A7"/>
    <w:rsid w:val="00DA2A30"/>
    <w:rsid w:val="00E250FE"/>
    <w:rsid w:val="00E76B9F"/>
    <w:rsid w:val="00F215D7"/>
    <w:rsid w:val="00FB1FAC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104283"/>
  <w15:docId w15:val="{78357A32-C5CD-4E0C-91B5-0D90AF5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7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Michael Simms</cp:lastModifiedBy>
  <cp:revision>2</cp:revision>
  <cp:lastPrinted>2026-05-07T10:03:00Z</cp:lastPrinted>
  <dcterms:created xsi:type="dcterms:W3CDTF">2026-05-07T10:10:00Z</dcterms:created>
  <dcterms:modified xsi:type="dcterms:W3CDTF">2026-05-07T10:10:00Z</dcterms:modified>
</cp:coreProperties>
</file>